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18" w:rsidRPr="008F2718" w:rsidRDefault="008F2718" w:rsidP="008F2718">
      <w:pPr>
        <w:jc w:val="both"/>
        <w:rPr>
          <w:rFonts w:asciiTheme="minorHAnsi" w:eastAsia="Arial" w:hAnsiTheme="minorHAnsi" w:cs="DroidSans-Bold"/>
          <w:b/>
          <w:bCs/>
          <w:color w:val="002060"/>
          <w:sz w:val="26"/>
          <w:szCs w:val="26"/>
          <w:lang w:eastAsia="es-AR"/>
        </w:rPr>
      </w:pPr>
      <w:bookmarkStart w:id="0" w:name="_GoBack"/>
      <w:r>
        <w:rPr>
          <w:rFonts w:asciiTheme="minorHAnsi" w:eastAsia="Arial" w:hAnsiTheme="minorHAnsi" w:cs="DroidSans-Bold"/>
          <w:b/>
          <w:bCs/>
          <w:color w:val="002060"/>
          <w:sz w:val="26"/>
          <w:szCs w:val="26"/>
          <w:lang w:eastAsia="es-AR"/>
        </w:rPr>
        <w:t xml:space="preserve">PROTOCOLO PARA LA </w:t>
      </w:r>
      <w:r w:rsidRPr="008F2718">
        <w:rPr>
          <w:rFonts w:asciiTheme="minorHAnsi" w:eastAsia="Arial" w:hAnsiTheme="minorHAnsi" w:cs="DroidSans-Bold"/>
          <w:b/>
          <w:bCs/>
          <w:color w:val="002060"/>
          <w:sz w:val="26"/>
          <w:szCs w:val="26"/>
          <w:lang w:eastAsia="es-AR"/>
        </w:rPr>
        <w:t xml:space="preserve">ATENCIÓN MÉDICA Y ODONTOLÓGICA </w:t>
      </w:r>
      <w:r>
        <w:rPr>
          <w:rFonts w:asciiTheme="minorHAnsi" w:eastAsia="Arial" w:hAnsiTheme="minorHAnsi" w:cs="DroidSans-Bold"/>
          <w:b/>
          <w:bCs/>
          <w:color w:val="002060"/>
          <w:sz w:val="26"/>
          <w:szCs w:val="26"/>
          <w:lang w:eastAsia="es-AR"/>
        </w:rPr>
        <w:t xml:space="preserve">PROGRAMADA, DE CARÁCTER PREVENTIVO Y SEGUIMIENTO DE ENFERMEDADES CRÓNICAS, CON SISTEMA DE </w:t>
      </w:r>
      <w:r w:rsidRPr="008F2718">
        <w:rPr>
          <w:rFonts w:asciiTheme="minorHAnsi" w:eastAsia="Arial" w:hAnsiTheme="minorHAnsi" w:cs="DroidSans-Bold"/>
          <w:b/>
          <w:bCs/>
          <w:color w:val="002060"/>
          <w:sz w:val="26"/>
          <w:szCs w:val="26"/>
          <w:lang w:eastAsia="es-AR"/>
        </w:rPr>
        <w:t>TURNO PREVIO</w:t>
      </w:r>
    </w:p>
    <w:bookmarkEnd w:id="0"/>
    <w:p w:rsidR="008F2718" w:rsidRPr="008F2718" w:rsidRDefault="008F2718" w:rsidP="008F2718">
      <w:pPr>
        <w:jc w:val="both"/>
        <w:rPr>
          <w:rFonts w:asciiTheme="minorHAnsi" w:eastAsia="Arial" w:hAnsiTheme="minorHAnsi" w:cs="DroidSans-Bold"/>
          <w:b/>
          <w:bCs/>
          <w:color w:val="002060"/>
          <w:sz w:val="26"/>
          <w:szCs w:val="26"/>
          <w:highlight w:val="lightGray"/>
          <w:lang w:eastAsia="es-AR"/>
        </w:rPr>
      </w:pPr>
    </w:p>
    <w:p w:rsidR="008F2718" w:rsidRPr="008F2718" w:rsidRDefault="008F2718" w:rsidP="008F2718">
      <w:pPr>
        <w:pStyle w:val="Ttulo1"/>
        <w:spacing w:before="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8F2718">
        <w:rPr>
          <w:rFonts w:asciiTheme="minorHAnsi" w:hAnsiTheme="minorHAnsi"/>
          <w:color w:val="002060"/>
          <w:sz w:val="24"/>
          <w:szCs w:val="24"/>
        </w:rPr>
        <w:t>Recomendaciones para la atención en Centros Ambulatorios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Las siguientes recomendaciones se encuentran en revisión continua, por lo que podrán modificarse teniendo en cuenta la nueva evidencia que surja en el transcurso de la pandemia por SARS-CoV-2.</w:t>
      </w:r>
    </w:p>
    <w:p w:rsidR="008F2718" w:rsidRPr="008F2718" w:rsidRDefault="008F2718" w:rsidP="008F2718">
      <w:pPr>
        <w:pStyle w:val="Ttulo2"/>
        <w:spacing w:before="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8F2718">
        <w:rPr>
          <w:rFonts w:asciiTheme="minorHAnsi" w:hAnsiTheme="minorHAnsi"/>
          <w:color w:val="002060"/>
          <w:sz w:val="24"/>
          <w:szCs w:val="24"/>
        </w:rPr>
        <w:t>Gestión de la Atención en Consultorios Externos, Laboratorio y centros de prácticas ambulatorias (radiología, tomografía, ecografía, resonancia magnética, medicina nuclear, PET-CT)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Según recomendaciones de la Organización Panamericana de la Salud (OPS) se recomienda para la atención en ambulatorio las siguientes estrategias:</w:t>
      </w:r>
    </w:p>
    <w:p w:rsidR="008F2718" w:rsidRPr="008F2718" w:rsidRDefault="008F2718" w:rsidP="008F2718">
      <w:pPr>
        <w:pStyle w:val="Ttulo4"/>
        <w:spacing w:before="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8F2718">
        <w:rPr>
          <w:rFonts w:asciiTheme="minorHAnsi" w:hAnsiTheme="minorHAnsi"/>
          <w:i w:val="0"/>
          <w:color w:val="002060"/>
          <w:sz w:val="24"/>
          <w:szCs w:val="24"/>
        </w:rPr>
        <w:t>Segmentar grupos vulnerables en horarios discriminados, con atención preferencial</w:t>
      </w:r>
      <w:r w:rsidRPr="008F2718">
        <w:rPr>
          <w:rFonts w:asciiTheme="minorHAnsi" w:hAnsiTheme="minorHAnsi"/>
          <w:color w:val="002060"/>
          <w:sz w:val="24"/>
          <w:szCs w:val="24"/>
        </w:rPr>
        <w:t>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asignarán las primeras horas de cada jornada de consultorios a la atención de los grupos de riesgo, o se los segmentará en días, horarios, pisos o áreas segregadas: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Pacientes oncológicos (quimioterapia, radioterapia)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Pacientes en tratamiento inmunosupresor/</w:t>
      </w:r>
      <w:proofErr w:type="spellStart"/>
      <w:r>
        <w:rPr>
          <w:rFonts w:asciiTheme="minorHAnsi" w:hAnsiTheme="minorHAnsi"/>
        </w:rPr>
        <w:t>inmunomodulador</w:t>
      </w:r>
      <w:proofErr w:type="spellEnd"/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Pacientes receptores de órganos sólidos o trasplante de células hematopoyéticas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Mayores de 60 años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Diabéticos </w:t>
      </w:r>
      <w:proofErr w:type="spellStart"/>
      <w:r>
        <w:rPr>
          <w:rFonts w:asciiTheme="minorHAnsi" w:hAnsiTheme="minorHAnsi"/>
        </w:rPr>
        <w:t>insulinorequirientes</w:t>
      </w:r>
      <w:proofErr w:type="spellEnd"/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Insuficientes Cardíacos</w:t>
      </w:r>
    </w:p>
    <w:p w:rsidR="008F2718" w:rsidRDefault="008F2718" w:rsidP="008F271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EPOC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preferirá su ingreso por circuitos protegidos, sin contacto con pacientes o salas de espera de febriles.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podrán asignar para estos pacientes pisos o consultorios específicos, para las especialidades que los asistan.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Emitir constancia el turno para garantizar la libre circulación. La misma podrá ser enviada al correo electrónico del afiliado (código QR), o ser impresa para presentar ante las autoridades que así lo requieran.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Establecer las especialidades médicas que podrán compartir sala de espera, personal administrativo y colas de atención, para evitar entrecruzamiento de pacientes limpios con pacientes con potencial patología infecciosa (segregar </w:t>
      </w:r>
      <w:proofErr w:type="spellStart"/>
      <w:r>
        <w:rPr>
          <w:rFonts w:asciiTheme="minorHAnsi" w:hAnsiTheme="minorHAnsi"/>
        </w:rPr>
        <w:t>Infectología</w:t>
      </w:r>
      <w:proofErr w:type="spellEnd"/>
      <w:r>
        <w:rPr>
          <w:rFonts w:asciiTheme="minorHAnsi" w:hAnsiTheme="minorHAnsi"/>
        </w:rPr>
        <w:t xml:space="preserve">, Clínica Médica y </w:t>
      </w:r>
      <w:proofErr w:type="spellStart"/>
      <w:r>
        <w:rPr>
          <w:rFonts w:asciiTheme="minorHAnsi" w:hAnsiTheme="minorHAnsi"/>
        </w:rPr>
        <w:t>Neumonología</w:t>
      </w:r>
      <w:proofErr w:type="spellEnd"/>
      <w:r>
        <w:rPr>
          <w:rFonts w:asciiTheme="minorHAnsi" w:hAnsiTheme="minorHAnsi"/>
        </w:rPr>
        <w:t>; Oftalmología y Gastroenterología, del resto de las especialidades).</w:t>
      </w:r>
    </w:p>
    <w:p w:rsidR="008F2718" w:rsidRPr="008F2718" w:rsidRDefault="008F2718" w:rsidP="008F2718">
      <w:pPr>
        <w:pStyle w:val="Ttulo4"/>
        <w:spacing w:before="0" w:line="240" w:lineRule="auto"/>
        <w:jc w:val="both"/>
        <w:rPr>
          <w:rFonts w:asciiTheme="minorHAnsi" w:hAnsiTheme="minorHAnsi"/>
          <w:i w:val="0"/>
          <w:color w:val="002060"/>
          <w:sz w:val="24"/>
          <w:szCs w:val="24"/>
        </w:rPr>
      </w:pPr>
      <w:r w:rsidRPr="008F2718">
        <w:rPr>
          <w:rFonts w:asciiTheme="minorHAnsi" w:hAnsiTheme="minorHAnsi"/>
          <w:i w:val="0"/>
          <w:color w:val="002060"/>
          <w:sz w:val="24"/>
          <w:szCs w:val="24"/>
        </w:rPr>
        <w:t>Evitar aglomeraciones en salas de espera.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asignarán los turnos con un espacio no inferior a 30 minutos entre las consultas, para evitar acumulación de personas en las salas de espera.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colocarán restricciones de uso de los asientos, uno por medio, o se retirarán asientos de las salas de espera, o se reorganizará los mismos para permitir un espaciado no inferior a 1.5 metro entre cada uno. 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colocará </w:t>
      </w:r>
      <w:proofErr w:type="spellStart"/>
      <w:r>
        <w:rPr>
          <w:rFonts w:asciiTheme="minorHAnsi" w:hAnsiTheme="minorHAnsi"/>
        </w:rPr>
        <w:t>cartelería</w:t>
      </w:r>
      <w:proofErr w:type="spellEnd"/>
      <w:r>
        <w:rPr>
          <w:rFonts w:asciiTheme="minorHAnsi" w:hAnsiTheme="minorHAnsi"/>
        </w:rPr>
        <w:t xml:space="preserve"> recordatoria en las salas, se utilizarán medios audiovisuales (</w:t>
      </w:r>
      <w:proofErr w:type="spellStart"/>
      <w:r>
        <w:rPr>
          <w:rFonts w:asciiTheme="minorHAnsi" w:hAnsiTheme="minorHAnsi"/>
        </w:rPr>
        <w:t>reel</w:t>
      </w:r>
      <w:proofErr w:type="spellEnd"/>
      <w:r>
        <w:rPr>
          <w:rFonts w:asciiTheme="minorHAnsi" w:hAnsiTheme="minorHAnsi"/>
        </w:rPr>
        <w:t xml:space="preserve"> de TV si está disponible) y folletería para reforzar la noción de distancia social. Contabilizar la cantidad de puestos disponibles dentro de cada sala de espera y mediante </w:t>
      </w:r>
      <w:proofErr w:type="spellStart"/>
      <w:r>
        <w:rPr>
          <w:rFonts w:asciiTheme="minorHAnsi" w:hAnsiTheme="minorHAnsi"/>
        </w:rPr>
        <w:t>cartelería</w:t>
      </w:r>
      <w:proofErr w:type="spellEnd"/>
      <w:r>
        <w:rPr>
          <w:rFonts w:asciiTheme="minorHAnsi" w:hAnsiTheme="minorHAnsi"/>
        </w:rPr>
        <w:t xml:space="preserve"> comunicar la capacidad máxima de las mismas.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Se colocarán delimitaciones o barreras físicas para distanciar al paciente del personal administrativo de Consultorios Externos del paciente, 2 metros. Si es posible, vidrio o acrílico. Otras opciones son líneas en el suelo, postes separadores con cintas, marcas en el suelo a no menos de 1.5 metro para establecer distancias seguras en colas. 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Facilitar la ventilación cruzada natural de los espacios con apertura de puertas y ventanas. Ventilación artificial con el uso de aires acondicionados en modo ventilación, con limpieza diaria de filtros.</w:t>
      </w:r>
    </w:p>
    <w:p w:rsidR="008F2718" w:rsidRPr="008F2718" w:rsidRDefault="008F2718" w:rsidP="008F2718">
      <w:pPr>
        <w:pStyle w:val="Ttulo4"/>
        <w:spacing w:before="0" w:line="240" w:lineRule="auto"/>
        <w:jc w:val="both"/>
        <w:rPr>
          <w:rFonts w:asciiTheme="minorHAnsi" w:hAnsiTheme="minorHAnsi"/>
          <w:i w:val="0"/>
          <w:color w:val="002060"/>
          <w:sz w:val="24"/>
          <w:szCs w:val="24"/>
        </w:rPr>
      </w:pPr>
      <w:r w:rsidRPr="008F2718">
        <w:rPr>
          <w:rFonts w:asciiTheme="minorHAnsi" w:hAnsiTheme="minorHAnsi"/>
          <w:i w:val="0"/>
          <w:color w:val="002060"/>
          <w:sz w:val="24"/>
          <w:szCs w:val="24"/>
        </w:rPr>
        <w:t>Bioseguridad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aumentará la disponibilidad de facilidades para la higiene de manos, con dispensadores de pared de soluciones </w:t>
      </w:r>
      <w:proofErr w:type="spellStart"/>
      <w:r>
        <w:rPr>
          <w:rFonts w:asciiTheme="minorHAnsi" w:hAnsiTheme="minorHAnsi"/>
        </w:rPr>
        <w:t>hidroalcohólicas</w:t>
      </w:r>
      <w:proofErr w:type="spellEnd"/>
      <w:r>
        <w:rPr>
          <w:rFonts w:asciiTheme="minorHAnsi" w:hAnsiTheme="minorHAnsi"/>
        </w:rPr>
        <w:t xml:space="preserve"> o dispensadores de mostrador. </w:t>
      </w:r>
      <w:proofErr w:type="spellStart"/>
      <w:r>
        <w:rPr>
          <w:rFonts w:asciiTheme="minorHAnsi" w:hAnsiTheme="minorHAnsi"/>
        </w:rPr>
        <w:t>Cartelería</w:t>
      </w:r>
      <w:proofErr w:type="spellEnd"/>
      <w:r>
        <w:rPr>
          <w:rFonts w:asciiTheme="minorHAnsi" w:hAnsiTheme="minorHAnsi"/>
        </w:rPr>
        <w:t xml:space="preserve"> recordatoria en los puntos de uso de la técnica correcta y los 5 momentos de higiene de manos.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Cartelería</w:t>
      </w:r>
      <w:proofErr w:type="spellEnd"/>
      <w:r>
        <w:rPr>
          <w:rFonts w:asciiTheme="minorHAnsi" w:hAnsiTheme="minorHAnsi"/>
        </w:rPr>
        <w:t xml:space="preserve"> recordatoria de la etiqueta de la tos y de los estornudos.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personal administrativo, al momento de la consulta, realizará un </w:t>
      </w:r>
      <w:proofErr w:type="spellStart"/>
      <w:r>
        <w:rPr>
          <w:rFonts w:asciiTheme="minorHAnsi" w:hAnsiTheme="minorHAnsi"/>
        </w:rPr>
        <w:t>Triage</w:t>
      </w:r>
      <w:proofErr w:type="spellEnd"/>
      <w:r>
        <w:rPr>
          <w:rFonts w:asciiTheme="minorHAnsi" w:hAnsiTheme="minorHAnsi"/>
        </w:rPr>
        <w:t xml:space="preserve"> con preguntas dirigidas en base a la Declaración Jurada de </w:t>
      </w:r>
      <w:proofErr w:type="spellStart"/>
      <w:r>
        <w:rPr>
          <w:rFonts w:asciiTheme="minorHAnsi" w:hAnsiTheme="minorHAnsi"/>
        </w:rPr>
        <w:t>Pcia</w:t>
      </w:r>
      <w:proofErr w:type="spellEnd"/>
      <w:r>
        <w:rPr>
          <w:rFonts w:asciiTheme="minorHAnsi" w:hAnsiTheme="minorHAnsi"/>
        </w:rPr>
        <w:t xml:space="preserve"> de Santa Fe, para detectar eventuales pacientes febriles o con síntomas respiratorios, indicarles la colocación de barbijo de tela </w:t>
      </w:r>
      <w:proofErr w:type="spellStart"/>
      <w:r>
        <w:rPr>
          <w:rFonts w:asciiTheme="minorHAnsi" w:hAnsiTheme="minorHAnsi"/>
        </w:rPr>
        <w:t>tricapa</w:t>
      </w:r>
      <w:proofErr w:type="spellEnd"/>
      <w:r>
        <w:rPr>
          <w:rFonts w:asciiTheme="minorHAnsi" w:hAnsiTheme="minorHAnsi"/>
        </w:rPr>
        <w:t xml:space="preserve"> quirúrgico y </w:t>
      </w:r>
      <w:proofErr w:type="spellStart"/>
      <w:r>
        <w:rPr>
          <w:rFonts w:asciiTheme="minorHAnsi" w:hAnsiTheme="minorHAnsi"/>
        </w:rPr>
        <w:t>redireccionarlos</w:t>
      </w:r>
      <w:proofErr w:type="spellEnd"/>
      <w:r>
        <w:rPr>
          <w:rFonts w:asciiTheme="minorHAnsi" w:hAnsiTheme="minorHAnsi"/>
        </w:rPr>
        <w:t xml:space="preserve"> a la Guardia de Emergencias (circuito COVID).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Los pacientes inmunocomprometidos deberán concurrir a la consulta con barbijo quirúrgico.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se aceptará el ingreso de acompañante de paciente, salvo que el mismo sea requerido por dificultades de movilización (paciente frágil, añoso, no </w:t>
      </w:r>
      <w:proofErr w:type="spellStart"/>
      <w:r>
        <w:rPr>
          <w:rFonts w:asciiTheme="minorHAnsi" w:hAnsiTheme="minorHAnsi"/>
        </w:rPr>
        <w:t>autoválido</w:t>
      </w:r>
      <w:proofErr w:type="spellEnd"/>
      <w:r>
        <w:rPr>
          <w:rFonts w:asciiTheme="minorHAnsi" w:hAnsiTheme="minorHAnsi"/>
        </w:rPr>
        <w:t>). El acompañante en estos casos deberá ser una persona sin comorbilidades, menor de 60 años; deberá contar con tapabocas, sin excepción. Personal de seguridad deberá controlar el ingreso, y si está disponible, realizar la toma de temperatura con termómetro infrarrojo.</w:t>
      </w:r>
    </w:p>
    <w:p w:rsidR="008F2718" w:rsidRPr="008F2718" w:rsidRDefault="008F2718" w:rsidP="008F2718">
      <w:pPr>
        <w:pStyle w:val="Ttulo4"/>
        <w:spacing w:before="0" w:line="240" w:lineRule="auto"/>
        <w:jc w:val="both"/>
        <w:rPr>
          <w:rFonts w:asciiTheme="minorHAnsi" w:hAnsiTheme="minorHAnsi"/>
          <w:i w:val="0"/>
          <w:sz w:val="24"/>
          <w:szCs w:val="24"/>
        </w:rPr>
      </w:pPr>
      <w:r w:rsidRPr="008F2718">
        <w:rPr>
          <w:rFonts w:asciiTheme="minorHAnsi" w:hAnsiTheme="minorHAnsi"/>
          <w:i w:val="0"/>
          <w:color w:val="002060"/>
          <w:sz w:val="24"/>
          <w:szCs w:val="24"/>
        </w:rPr>
        <w:t>Higiene y desinfección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residuos de consultorios se eliminarán en bolsas rojas llenas hasta ¾ de su capacidad, cerradas con </w:t>
      </w:r>
      <w:proofErr w:type="gramStart"/>
      <w:r>
        <w:rPr>
          <w:rFonts w:asciiTheme="minorHAnsi" w:hAnsiTheme="minorHAnsi"/>
        </w:rPr>
        <w:t>precinto plástico y rotuladas</w:t>
      </w:r>
      <w:proofErr w:type="gramEnd"/>
      <w:r>
        <w:rPr>
          <w:rFonts w:asciiTheme="minorHAnsi" w:hAnsiTheme="minorHAnsi"/>
        </w:rPr>
        <w:t xml:space="preserve"> con fecha, piso y sector o número de consultorio. Los bucos serán desinfectados con soluciones aprobadas por Comité de Control de Infecciones (hipoclorito al 1%, </w:t>
      </w:r>
      <w:proofErr w:type="spellStart"/>
      <w:r>
        <w:rPr>
          <w:rFonts w:asciiTheme="minorHAnsi" w:hAnsiTheme="minorHAnsi"/>
        </w:rPr>
        <w:t>monopersulfato</w:t>
      </w:r>
      <w:proofErr w:type="spellEnd"/>
      <w:r>
        <w:rPr>
          <w:rFonts w:asciiTheme="minorHAnsi" w:hAnsiTheme="minorHAnsi"/>
        </w:rPr>
        <w:t xml:space="preserve"> de potasio, peróxido de hidrógeno acelerado, amonios cuaternarios).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realizará desinfección profunda de los consultorios en cada turno y luego de finalizar la agenda de cada profesional, al igual que de las salas de espera, y de los baños públicos con frecuencia horaria. Se repasarán las superficies de contacto frecuente como picaportes, llaves de luz, mesas, escritorios y superficies de apoyo.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deberá contar con </w:t>
      </w:r>
      <w:proofErr w:type="spellStart"/>
      <w:r>
        <w:rPr>
          <w:rFonts w:asciiTheme="minorHAnsi" w:hAnsiTheme="minorHAnsi"/>
        </w:rPr>
        <w:t>cubrecamillas</w:t>
      </w:r>
      <w:proofErr w:type="spellEnd"/>
      <w:r>
        <w:rPr>
          <w:rFonts w:asciiTheme="minorHAnsi" w:hAnsiTheme="minorHAnsi"/>
        </w:rPr>
        <w:t xml:space="preserve"> descartables, o proveer de soluciones de limpieza para la desinfección de la camilla entre paciente y paciente (a realizar por cada profesional).</w:t>
      </w:r>
    </w:p>
    <w:p w:rsidR="008F2718" w:rsidRDefault="008F2718" w:rsidP="008F2718">
      <w:pPr>
        <w:pStyle w:val="Ttulo2"/>
        <w:spacing w:before="0" w:line="240" w:lineRule="auto"/>
        <w:jc w:val="both"/>
        <w:rPr>
          <w:rFonts w:asciiTheme="minorHAnsi" w:hAnsiTheme="minorHAnsi"/>
          <w:sz w:val="24"/>
          <w:szCs w:val="24"/>
        </w:rPr>
      </w:pPr>
      <w:r w:rsidRPr="008F2718">
        <w:rPr>
          <w:rFonts w:asciiTheme="minorHAnsi" w:hAnsiTheme="minorHAnsi"/>
          <w:color w:val="002060"/>
          <w:sz w:val="24"/>
          <w:szCs w:val="24"/>
        </w:rPr>
        <w:t>Recomendaciones para Personal Administrativo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Lavado frecuente de manos con alcohol en gel o agua y jabón para todo el personal.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Atención del afiliado/familiar a través de ventanilla (si cuenta con la misma) o manteniendo una distancia de 2 metros.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Uso de máscara facial si no cuenta con barrera física (ventanilla o vidrio). La misma se deberá descontaminar con una gasa alcohol al 70% al finalizar el turno.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Reducir la cantidad de personal simultáneo en las oficinas, respetando el sector de escritorio/computadora y manteniendo la distancia de 2 metros con el compañero de trabajo.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Restringir el acceso de personas ajenas al sector para evitar conglomerados de personas.</w:t>
      </w:r>
    </w:p>
    <w:p w:rsidR="008F2718" w:rsidRPr="008F2718" w:rsidRDefault="008F2718" w:rsidP="008F2718">
      <w:pPr>
        <w:pStyle w:val="Ttulo2"/>
        <w:spacing w:before="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8F2718">
        <w:rPr>
          <w:rFonts w:asciiTheme="minorHAnsi" w:hAnsiTheme="minorHAnsi"/>
          <w:color w:val="002060"/>
          <w:sz w:val="24"/>
          <w:szCs w:val="24"/>
        </w:rPr>
        <w:t>Recomendaciones para Personal de Vigilancia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Al personal de vigilancia que se encuentra en los ingresos y realizan el control inicial, se le recomienda utilizar máscara facial durante la jornada laboral y alcohol en gel para higiene de manos frecuente. La máscara se deberá descontaminar con una gasa alcohol al 70% al finalizar el turno.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Mantener una distancia de 2 metros con el paciente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Controlar el ingreso de UN SOLO familiar/cuidador/acompañante SÓLO en caso de pacientes que requieren asistencia o no sean </w:t>
      </w:r>
      <w:proofErr w:type="gramStart"/>
      <w:r>
        <w:rPr>
          <w:rFonts w:asciiTheme="minorHAnsi" w:hAnsiTheme="minorHAnsi"/>
          <w:bCs/>
        </w:rPr>
        <w:t>auto válidos</w:t>
      </w:r>
      <w:proofErr w:type="gramEnd"/>
      <w:r>
        <w:rPr>
          <w:rFonts w:asciiTheme="minorHAnsi" w:hAnsiTheme="minorHAnsi"/>
          <w:bCs/>
        </w:rPr>
        <w:t xml:space="preserve">. 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Toma de temperatura con termómetro infrarrojo.</w:t>
      </w:r>
    </w:p>
    <w:p w:rsidR="008F2718" w:rsidRDefault="008F2718" w:rsidP="008F2718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Controlar el ingreso de toda persona a la institución CON TAPABOCAS, según Decreto N°0347/20</w:t>
      </w:r>
    </w:p>
    <w:p w:rsidR="008F2718" w:rsidRPr="008F2718" w:rsidRDefault="008F2718" w:rsidP="008F2718">
      <w:pPr>
        <w:pStyle w:val="Ttulo2"/>
        <w:spacing w:before="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8F2718">
        <w:rPr>
          <w:rFonts w:asciiTheme="minorHAnsi" w:hAnsiTheme="minorHAnsi"/>
          <w:color w:val="002060"/>
          <w:sz w:val="24"/>
          <w:szCs w:val="24"/>
        </w:rPr>
        <w:t xml:space="preserve">Recomendaciones para Médicos de Consultorio Externo </w:t>
      </w:r>
    </w:p>
    <w:p w:rsidR="008F2718" w:rsidRDefault="008F2718" w:rsidP="008F2718">
      <w:pPr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Teniendo en cuenta la variabilidad de sintomatología al ingreso del paciente y la alta transmisibilidad del SARS-CoV-2, se recomienda </w:t>
      </w:r>
      <w:r>
        <w:rPr>
          <w:rFonts w:asciiTheme="minorHAnsi" w:hAnsiTheme="minorHAnsi"/>
          <w:b/>
        </w:rPr>
        <w:t>A TODO</w:t>
      </w:r>
      <w:r>
        <w:rPr>
          <w:rFonts w:asciiTheme="minorHAnsi" w:hAnsiTheme="minorHAnsi"/>
          <w:bCs/>
        </w:rPr>
        <w:t xml:space="preserve"> el personal que asiste a los pacientes la utilización permanente de barbijo quirúrgico y antiparras. Las mismas, al terminar el consultorio, se las deberá descontaminar con una gasa alcohol al 70%.</w:t>
      </w:r>
    </w:p>
    <w:p w:rsidR="008F2718" w:rsidRDefault="008F2718" w:rsidP="008F2718">
      <w:pPr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 preferirá el uso de barbijo y máscara facial (</w:t>
      </w:r>
      <w:proofErr w:type="spellStart"/>
      <w:r>
        <w:rPr>
          <w:rFonts w:asciiTheme="minorHAnsi" w:hAnsiTheme="minorHAnsi"/>
          <w:bCs/>
          <w:i/>
        </w:rPr>
        <w:t>helmet</w:t>
      </w:r>
      <w:proofErr w:type="spellEnd"/>
      <w:r>
        <w:rPr>
          <w:rFonts w:asciiTheme="minorHAnsi" w:hAnsiTheme="minorHAnsi"/>
          <w:bCs/>
        </w:rPr>
        <w:t xml:space="preserve"> o escafandra) para las siguientes especialidades:</w:t>
      </w:r>
    </w:p>
    <w:p w:rsidR="008F2718" w:rsidRDefault="008F2718" w:rsidP="008F2718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Oftalmología</w:t>
      </w:r>
    </w:p>
    <w:p w:rsidR="008F2718" w:rsidRDefault="008F2718" w:rsidP="008F2718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Odontología (atención de emergencias o urgencias, EXCLUSIVAMENTE)</w:t>
      </w:r>
    </w:p>
    <w:p w:rsidR="008F2718" w:rsidRPr="008F2718" w:rsidRDefault="008F2718" w:rsidP="008F2718">
      <w:pPr>
        <w:pStyle w:val="Ttulo4"/>
        <w:spacing w:before="0" w:line="240" w:lineRule="auto"/>
        <w:jc w:val="both"/>
        <w:rPr>
          <w:rFonts w:asciiTheme="minorHAnsi" w:hAnsiTheme="minorHAnsi"/>
          <w:i w:val="0"/>
          <w:color w:val="002060"/>
          <w:sz w:val="24"/>
          <w:szCs w:val="24"/>
        </w:rPr>
      </w:pPr>
      <w:r w:rsidRPr="008F2718">
        <w:rPr>
          <w:rFonts w:asciiTheme="minorHAnsi" w:hAnsiTheme="minorHAnsi"/>
          <w:i w:val="0"/>
          <w:color w:val="002060"/>
          <w:sz w:val="24"/>
          <w:szCs w:val="24"/>
        </w:rPr>
        <w:t>Prácticas Invasivas Ambulatorias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recomienda posponer procedimientos invasivos generadores de aerosoles en Consultorios Externos.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profesional que realice prácticas invasivas o mínimamente invasivas que generen </w:t>
      </w:r>
      <w:proofErr w:type="spellStart"/>
      <w:r>
        <w:rPr>
          <w:rFonts w:asciiTheme="minorHAnsi" w:hAnsiTheme="minorHAnsi"/>
        </w:rPr>
        <w:t>aerosolización</w:t>
      </w:r>
      <w:proofErr w:type="spellEnd"/>
      <w:r>
        <w:rPr>
          <w:rFonts w:asciiTheme="minorHAnsi" w:hAnsiTheme="minorHAnsi"/>
        </w:rPr>
        <w:t xml:space="preserve"> (PGA), como ser: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toma de hisopados </w:t>
      </w:r>
      <w:proofErr w:type="spellStart"/>
      <w:r>
        <w:rPr>
          <w:rFonts w:asciiTheme="minorHAnsi" w:hAnsiTheme="minorHAnsi"/>
        </w:rPr>
        <w:t>orofaríngeos</w:t>
      </w:r>
      <w:proofErr w:type="spellEnd"/>
      <w:r>
        <w:rPr>
          <w:rFonts w:asciiTheme="minorHAnsi" w:hAnsiTheme="minorHAnsi"/>
        </w:rPr>
        <w:t xml:space="preserve"> (en LABORATORIO)</w:t>
      </w:r>
    </w:p>
    <w:p w:rsidR="008F2718" w:rsidRDefault="008F2718" w:rsidP="008F2718">
      <w:pPr>
        <w:contextualSpacing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Deberá utilizar los siguientes elementos de protección personal (EPP):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barbijo N95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bata descartable con puño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guantes de látex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máscara facial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gorro o cofia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Deberá seguir el orden descripto en el ANEXO para su colocación y retiro.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barbijo N95 será de uso único por profesional, reutilizándolo hasta 30 días consecutivos. Se deberá almacenar en bolsa de papel madera rotulada con Nombre y Apellido del profesional y fecha de primer uso. No remover de la institución. No escribir ni mojar el barbijo.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Los residuos producidos de la atención de los pacientes serán descartados en BOLSA ROJA. Dicha bolsa roja deberá ser rotulada con Fecha, Piso y Sector, y se cerrará con precinto plástico.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Luego de realizar en el consultorio una PGA, se deberá proceder a solicitar al personal de Servicios de Limpieza la desinfección profunda del consultorio.</w:t>
      </w:r>
    </w:p>
    <w:p w:rsidR="008F2718" w:rsidRPr="008F2718" w:rsidRDefault="008F2718" w:rsidP="008F2718">
      <w:pPr>
        <w:pStyle w:val="Ttulo2"/>
        <w:spacing w:before="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8F2718">
        <w:rPr>
          <w:rFonts w:asciiTheme="minorHAnsi" w:hAnsiTheme="minorHAnsi"/>
          <w:color w:val="002060"/>
          <w:sz w:val="24"/>
          <w:szCs w:val="24"/>
        </w:rPr>
        <w:t>Recomendaciones para Laboratorio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preferirá a toma de muestra en domicilio para los pacientes de los grupos vulnerables. 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recomienda habilitar el primer horario de la mañana (de 7 a 8 </w:t>
      </w:r>
      <w:proofErr w:type="spellStart"/>
      <w:r>
        <w:rPr>
          <w:rFonts w:asciiTheme="minorHAnsi" w:hAnsiTheme="minorHAnsi"/>
        </w:rPr>
        <w:t>hs</w:t>
      </w:r>
      <w:proofErr w:type="spellEnd"/>
      <w:r>
        <w:rPr>
          <w:rFonts w:asciiTheme="minorHAnsi" w:hAnsiTheme="minorHAnsi"/>
        </w:rPr>
        <w:t>) para las extracciones en box dentro del laboratorio, para muestras de pacientes inmunocomprometidos (oncológicos, trasplantados); mantener en todo momento las recomendaciones generales antes mencionadas para las salas de espera y personal administrativo.</w:t>
      </w:r>
    </w:p>
    <w:p w:rsidR="008F2718" w:rsidRPr="008F2718" w:rsidRDefault="008F2718" w:rsidP="008F2718">
      <w:pPr>
        <w:pStyle w:val="Ttulo2"/>
        <w:spacing w:before="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8F2718">
        <w:rPr>
          <w:rFonts w:asciiTheme="minorHAnsi" w:hAnsiTheme="minorHAnsi"/>
          <w:color w:val="002060"/>
          <w:sz w:val="24"/>
          <w:szCs w:val="24"/>
        </w:rPr>
        <w:t>Recomendaciones para centros de Prácticas Ambulatorias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mantendrán las mismas recomendaciones mencionadas anteriormente.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primará la limpieza y descontaminación de los equipos de diagnóstico, ENTRE paciente y paciente, sin excepción.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limpieza de los mismos se realizará con espuma de amonio cuaternario y toalla de papel descartable, o paños descartables embebidos en soluciones desinfectantes (como peróxido de hidrógeno acelerado), siempre respetando las recomendaciones del fabricante y con aval del departamento de Bioingeniería.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Aplica para radiología, tomografía, ecografía, mamografía, ecocardiografía, medicina nuclear, resonancia magnética, PET-CT.</w:t>
      </w:r>
    </w:p>
    <w:p w:rsidR="008F2718" w:rsidRDefault="008F2718" w:rsidP="008F2718">
      <w:pPr>
        <w:jc w:val="both"/>
        <w:rPr>
          <w:rFonts w:asciiTheme="minorHAnsi" w:hAnsiTheme="minorHAnsi"/>
        </w:rPr>
      </w:pPr>
    </w:p>
    <w:p w:rsidR="008F2718" w:rsidRDefault="008F2718" w:rsidP="008F2718">
      <w:pPr>
        <w:jc w:val="both"/>
        <w:rPr>
          <w:rFonts w:asciiTheme="minorHAnsi" w:hAnsiTheme="minorHAnsi"/>
          <w:b/>
          <w:color w:val="002060"/>
        </w:rPr>
      </w:pPr>
      <w:r w:rsidRPr="008F2718">
        <w:rPr>
          <w:rFonts w:asciiTheme="minorHAnsi" w:hAnsiTheme="minorHAnsi"/>
          <w:b/>
          <w:color w:val="002060"/>
        </w:rPr>
        <w:t>NO</w:t>
      </w:r>
      <w:r w:rsidRPr="008F2718">
        <w:rPr>
          <w:rFonts w:asciiTheme="minorHAnsi" w:hAnsiTheme="minorHAnsi"/>
          <w:color w:val="002060"/>
        </w:rPr>
        <w:t xml:space="preserve"> </w:t>
      </w:r>
      <w:r w:rsidRPr="008F2718">
        <w:rPr>
          <w:rFonts w:asciiTheme="minorHAnsi" w:hAnsiTheme="minorHAnsi"/>
          <w:b/>
          <w:color w:val="002060"/>
        </w:rPr>
        <w:t xml:space="preserve">se recomienda la realización de ecocardiograma </w:t>
      </w:r>
      <w:proofErr w:type="spellStart"/>
      <w:r w:rsidRPr="008F2718">
        <w:rPr>
          <w:rFonts w:asciiTheme="minorHAnsi" w:hAnsiTheme="minorHAnsi"/>
          <w:b/>
          <w:color w:val="002060"/>
        </w:rPr>
        <w:t>transesofágico</w:t>
      </w:r>
      <w:proofErr w:type="spellEnd"/>
      <w:r w:rsidRPr="008F2718">
        <w:rPr>
          <w:rFonts w:asciiTheme="minorHAnsi" w:hAnsiTheme="minorHAnsi"/>
          <w:b/>
          <w:color w:val="002060"/>
        </w:rPr>
        <w:t xml:space="preserve"> de rutina y </w:t>
      </w:r>
      <w:proofErr w:type="spellStart"/>
      <w:r w:rsidRPr="008F2718">
        <w:rPr>
          <w:rFonts w:asciiTheme="minorHAnsi" w:hAnsiTheme="minorHAnsi"/>
          <w:b/>
          <w:color w:val="002060"/>
        </w:rPr>
        <w:t>videoendoscopía</w:t>
      </w:r>
      <w:proofErr w:type="spellEnd"/>
      <w:r w:rsidRPr="008F2718">
        <w:rPr>
          <w:rFonts w:asciiTheme="minorHAnsi" w:hAnsiTheme="minorHAnsi"/>
          <w:b/>
          <w:color w:val="002060"/>
        </w:rPr>
        <w:t xml:space="preserve"> (SÖLO EMERGENCIAS en pacientes internados).</w:t>
      </w:r>
    </w:p>
    <w:p w:rsidR="008F2718" w:rsidRDefault="008F2718" w:rsidP="008F2718">
      <w:pPr>
        <w:jc w:val="both"/>
        <w:rPr>
          <w:rFonts w:asciiTheme="minorHAnsi" w:hAnsiTheme="minorHAnsi"/>
          <w:b/>
          <w:color w:val="002060"/>
        </w:rPr>
      </w:pPr>
    </w:p>
    <w:p w:rsidR="008F2718" w:rsidRPr="008F2718" w:rsidRDefault="008F2718" w:rsidP="008F2718">
      <w:pPr>
        <w:pStyle w:val="Ttulo2"/>
        <w:spacing w:before="0" w:line="240" w:lineRule="auto"/>
        <w:jc w:val="both"/>
        <w:rPr>
          <w:rFonts w:asciiTheme="minorHAnsi" w:hAnsiTheme="minorHAnsi"/>
          <w:color w:val="002060"/>
          <w:sz w:val="24"/>
          <w:szCs w:val="24"/>
        </w:rPr>
      </w:pPr>
      <w:r w:rsidRPr="008F2718">
        <w:rPr>
          <w:rFonts w:asciiTheme="minorHAnsi" w:hAnsiTheme="minorHAnsi"/>
          <w:color w:val="002060"/>
          <w:sz w:val="24"/>
          <w:szCs w:val="24"/>
        </w:rPr>
        <w:t>Recomendaciones para centros de Odontología (Urgencias)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recomienda posponer procedimientos electivos, cirugías y visitas no urgentes. Sólo se realizarán procedimientos de urgencia en Guardias de Odontología.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se recomienda la realización de </w:t>
      </w:r>
      <w:r>
        <w:rPr>
          <w:rFonts w:asciiTheme="minorHAnsi" w:hAnsiTheme="minorHAnsi"/>
          <w:b/>
        </w:rPr>
        <w:t>procedimientos invasivos</w:t>
      </w:r>
      <w:r>
        <w:rPr>
          <w:rFonts w:asciiTheme="minorHAnsi" w:hAnsiTheme="minorHAnsi"/>
        </w:rPr>
        <w:t xml:space="preserve"> sin una valoración o </w:t>
      </w:r>
      <w:proofErr w:type="spellStart"/>
      <w:r>
        <w:rPr>
          <w:rFonts w:asciiTheme="minorHAnsi" w:hAnsiTheme="minorHAnsi"/>
        </w:rPr>
        <w:t>screening</w:t>
      </w:r>
      <w:proofErr w:type="spellEnd"/>
      <w:r>
        <w:rPr>
          <w:rFonts w:asciiTheme="minorHAnsi" w:hAnsiTheme="minorHAnsi"/>
        </w:rPr>
        <w:t xml:space="preserve"> de riesgo de infección por SARS-CoV-2. La misma se deberá aplicar a todo paciente que requiera realizar prácticas generadoras de aerosoles, mediante interconsulta con el servicio de </w:t>
      </w:r>
      <w:proofErr w:type="spellStart"/>
      <w:r>
        <w:rPr>
          <w:rFonts w:asciiTheme="minorHAnsi" w:hAnsiTheme="minorHAnsi"/>
        </w:rPr>
        <w:t>Infectología</w:t>
      </w:r>
      <w:proofErr w:type="spellEnd"/>
      <w:r>
        <w:rPr>
          <w:rFonts w:asciiTheme="minorHAnsi" w:hAnsiTheme="minorHAnsi"/>
        </w:rPr>
        <w:t xml:space="preserve"> (ver ANEXO).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la PGA no puede postergarse, se deberá realizar al final del día, en un consultorio separado y asignado para prácticas contaminadas. El personal que la realice deberá contar con todos los elementos de protección personal definidos previamente, a saber:</w:t>
      </w:r>
    </w:p>
    <w:p w:rsidR="008F2718" w:rsidRDefault="008F2718" w:rsidP="008F2718">
      <w:pPr>
        <w:jc w:val="both"/>
        <w:rPr>
          <w:rFonts w:asciiTheme="minorHAnsi" w:hAnsiTheme="minorHAnsi"/>
        </w:rPr>
      </w:pPr>
    </w:p>
    <w:p w:rsidR="008F2718" w:rsidRDefault="008F2718" w:rsidP="008F2718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Odontólogo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barbijo N95 (y barbijo quirúrgico por encima)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bata descartable con puño (</w:t>
      </w:r>
      <w:proofErr w:type="spellStart"/>
      <w:r>
        <w:rPr>
          <w:rFonts w:asciiTheme="minorHAnsi" w:hAnsiTheme="minorHAnsi"/>
          <w:bCs/>
        </w:rPr>
        <w:t>hidro</w:t>
      </w:r>
      <w:proofErr w:type="spellEnd"/>
      <w:r>
        <w:rPr>
          <w:rFonts w:asciiTheme="minorHAnsi" w:hAnsiTheme="minorHAnsi"/>
          <w:bCs/>
        </w:rPr>
        <w:t>-repelente, o delantal plástico por encima)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guantes de látex doble (estéril, para prácticas)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máscara facial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gorro o cofia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cubrebotas</w:t>
      </w:r>
      <w:proofErr w:type="spellEnd"/>
    </w:p>
    <w:p w:rsidR="008F2718" w:rsidRDefault="008F2718" w:rsidP="008F2718">
      <w:pPr>
        <w:pStyle w:val="Prrafodelista"/>
        <w:ind w:left="1068"/>
        <w:jc w:val="both"/>
        <w:rPr>
          <w:rFonts w:asciiTheme="minorHAnsi" w:hAnsiTheme="minorHAnsi"/>
          <w:bCs/>
        </w:rPr>
      </w:pPr>
    </w:p>
    <w:p w:rsidR="008F2718" w:rsidRDefault="008F2718" w:rsidP="008F2718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Paciente (para la realización de prácticas)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bata descartable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gorro o cofia</w:t>
      </w:r>
    </w:p>
    <w:p w:rsidR="008F2718" w:rsidRDefault="008F2718" w:rsidP="008F2718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  <w:bCs/>
        </w:rPr>
        <w:t>cubrebotas</w:t>
      </w:r>
      <w:proofErr w:type="spellEnd"/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consultorio deberá contar con la adecuada ventilación y si está disponible, un filtro HEPA portátil. Luego de la realización del procedimiento, se deberá proceder a realizar dos desinfecciones profundas consecutivas del consultorio, y no utilizarlo hasta haya transcurrido 2 horas. Se preferirá NO uso de </w:t>
      </w:r>
      <w:proofErr w:type="spellStart"/>
      <w:r>
        <w:rPr>
          <w:rFonts w:asciiTheme="minorHAnsi" w:hAnsiTheme="minorHAnsi"/>
        </w:rPr>
        <w:t>cavitadores</w:t>
      </w:r>
      <w:proofErr w:type="spellEnd"/>
      <w:r>
        <w:rPr>
          <w:rFonts w:asciiTheme="minorHAnsi" w:hAnsiTheme="minorHAnsi"/>
        </w:rPr>
        <w:t xml:space="preserve"> ultrasónicos o jeringas de presión de agua/aire. Técnicas </w:t>
      </w:r>
      <w:proofErr w:type="spellStart"/>
      <w:r>
        <w:rPr>
          <w:rFonts w:asciiTheme="minorHAnsi" w:hAnsiTheme="minorHAnsi"/>
        </w:rPr>
        <w:t>atraumáticas</w:t>
      </w:r>
      <w:proofErr w:type="spellEnd"/>
      <w:r>
        <w:rPr>
          <w:rFonts w:asciiTheme="minorHAnsi" w:hAnsiTheme="minorHAnsi"/>
        </w:rPr>
        <w:t>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Todo el instrumental utilizado deberá ser descontaminado mediante lavado con detergente enzimático y luego esterilizado por calor (</w:t>
      </w:r>
      <w:proofErr w:type="spellStart"/>
      <w:r>
        <w:rPr>
          <w:rFonts w:asciiTheme="minorHAnsi" w:hAnsiTheme="minorHAnsi"/>
        </w:rPr>
        <w:t>termoresistente</w:t>
      </w:r>
      <w:proofErr w:type="spellEnd"/>
      <w:r>
        <w:rPr>
          <w:rFonts w:asciiTheme="minorHAnsi" w:hAnsiTheme="minorHAnsi"/>
        </w:rPr>
        <w:t>), óxido de etileno, plasma de peróxido de hidrógeno. Si no es factible, realizar desinfección de alto nivel (</w:t>
      </w:r>
      <w:proofErr w:type="spellStart"/>
      <w:r>
        <w:rPr>
          <w:rFonts w:asciiTheme="minorHAnsi" w:hAnsiTheme="minorHAnsi"/>
        </w:rPr>
        <w:t>glutaraldehído</w:t>
      </w:r>
      <w:proofErr w:type="spellEnd"/>
      <w:r>
        <w:rPr>
          <w:rFonts w:asciiTheme="minorHAnsi" w:hAnsiTheme="minorHAnsi"/>
        </w:rPr>
        <w:t xml:space="preserve">, OPA, ácido </w:t>
      </w:r>
      <w:proofErr w:type="spellStart"/>
      <w:r>
        <w:rPr>
          <w:rFonts w:asciiTheme="minorHAnsi" w:hAnsiTheme="minorHAnsi"/>
        </w:rPr>
        <w:t>peracético</w:t>
      </w:r>
      <w:proofErr w:type="spellEnd"/>
      <w:r>
        <w:rPr>
          <w:rFonts w:asciiTheme="minorHAnsi" w:hAnsiTheme="minorHAnsi"/>
        </w:rPr>
        <w:t>). Todo el material que lo permita deberá der descartable.</w:t>
      </w:r>
    </w:p>
    <w:p w:rsidR="008F2718" w:rsidRDefault="008F2718" w:rsidP="008F271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la PGA puede posponerse, aplicar la valoración de riesgo, indicar auto aislamiento del paciente por 7 días y toma de hisopado </w:t>
      </w:r>
      <w:proofErr w:type="spellStart"/>
      <w:r>
        <w:rPr>
          <w:rFonts w:asciiTheme="minorHAnsi" w:hAnsiTheme="minorHAnsi"/>
        </w:rPr>
        <w:t>rtPCR</w:t>
      </w:r>
      <w:proofErr w:type="spellEnd"/>
      <w:r>
        <w:rPr>
          <w:rFonts w:asciiTheme="minorHAnsi" w:hAnsiTheme="minorHAnsi"/>
        </w:rPr>
        <w:t xml:space="preserve"> para SARS-CoV-2 en los pacientes con riesgo intermedio y alto en las 48 horas </w:t>
      </w:r>
      <w:proofErr w:type="gramStart"/>
      <w:r>
        <w:rPr>
          <w:rFonts w:asciiTheme="minorHAnsi" w:hAnsiTheme="minorHAnsi"/>
        </w:rPr>
        <w:t>previos</w:t>
      </w:r>
      <w:proofErr w:type="gramEnd"/>
      <w:r>
        <w:rPr>
          <w:rFonts w:asciiTheme="minorHAnsi" w:hAnsiTheme="minorHAnsi"/>
        </w:rPr>
        <w:t xml:space="preserve"> a la fecha de la realización de la práctica. Con resultado de hisopado negativo se podrá proceder a realizar la práctica con elementos de protección personal.</w:t>
      </w:r>
    </w:p>
    <w:p w:rsidR="005B7AA9" w:rsidRDefault="005B7AA9" w:rsidP="008F2718"/>
    <w:sectPr w:rsidR="005B7A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9E" w:rsidRDefault="0022139E" w:rsidP="00BB4F20">
      <w:r>
        <w:separator/>
      </w:r>
    </w:p>
  </w:endnote>
  <w:endnote w:type="continuationSeparator" w:id="0">
    <w:p w:rsidR="0022139E" w:rsidRDefault="0022139E" w:rsidP="00BB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-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9E" w:rsidRDefault="0022139E" w:rsidP="00BB4F20">
      <w:r>
        <w:separator/>
      </w:r>
    </w:p>
  </w:footnote>
  <w:footnote w:type="continuationSeparator" w:id="0">
    <w:p w:rsidR="0022139E" w:rsidRDefault="0022139E" w:rsidP="00BB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20" w:rsidRDefault="00BB4F20" w:rsidP="00BB4F20">
    <w:pPr>
      <w:pBdr>
        <w:bottom w:val="single" w:sz="18" w:space="1" w:color="7F7F7F"/>
      </w:pBd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E59DAA4" wp14:editId="6825B418">
          <wp:simplePos x="0" y="0"/>
          <wp:positionH relativeFrom="column">
            <wp:posOffset>4349750</wp:posOffset>
          </wp:positionH>
          <wp:positionV relativeFrom="paragraph">
            <wp:posOffset>-74295</wp:posOffset>
          </wp:positionV>
          <wp:extent cx="975360" cy="351790"/>
          <wp:effectExtent l="0" t="0" r="0" b="0"/>
          <wp:wrapTight wrapText="bothSides">
            <wp:wrapPolygon edited="0">
              <wp:start x="8107" y="0"/>
              <wp:lineTo x="3876" y="763"/>
              <wp:lineTo x="1901" y="4662"/>
              <wp:lineTo x="1336" y="20972"/>
              <wp:lineTo x="21367" y="20972"/>
              <wp:lineTo x="21367" y="7764"/>
              <wp:lineTo x="18833" y="763"/>
              <wp:lineTo x="16292" y="0"/>
              <wp:lineTo x="8107" y="0"/>
            </wp:wrapPolygon>
          </wp:wrapTight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inline distT="0" distB="0" distL="0" distR="0" wp14:anchorId="097AF9DA" wp14:editId="4DCFE0B5">
          <wp:extent cx="1591310" cy="378460"/>
          <wp:effectExtent l="0" t="0" r="0" b="0"/>
          <wp:docPr id="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0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:rsidR="00BB4F20" w:rsidRDefault="00BB4F20">
    <w:pPr>
      <w:pStyle w:val="Encabezado"/>
    </w:pPr>
  </w:p>
  <w:p w:rsidR="00BB4F20" w:rsidRDefault="00BB4F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34F"/>
    <w:multiLevelType w:val="multilevel"/>
    <w:tmpl w:val="F5488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D1080"/>
    <w:multiLevelType w:val="multilevel"/>
    <w:tmpl w:val="7B88A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BA614B"/>
    <w:multiLevelType w:val="multilevel"/>
    <w:tmpl w:val="71487926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8"/>
    <w:rsid w:val="0022139E"/>
    <w:rsid w:val="003C31FC"/>
    <w:rsid w:val="005B7AA9"/>
    <w:rsid w:val="00655DE5"/>
    <w:rsid w:val="008F2718"/>
    <w:rsid w:val="00B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0FB69F-171C-40DA-A9C5-1A8294CB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1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271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27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F2718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F27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8F27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8F2718"/>
    <w:rPr>
      <w:rFonts w:asciiTheme="majorHAnsi" w:eastAsiaTheme="majorEastAsia" w:hAnsiTheme="majorHAnsi" w:cstheme="majorBidi"/>
      <w:i/>
      <w:iCs/>
      <w:color w:val="365F91" w:themeColor="accent1" w:themeShade="BF"/>
      <w:lang w:val="es-AR"/>
    </w:rPr>
  </w:style>
  <w:style w:type="paragraph" w:styleId="Prrafodelista">
    <w:name w:val="List Paragraph"/>
    <w:basedOn w:val="Normal"/>
    <w:uiPriority w:val="34"/>
    <w:qFormat/>
    <w:rsid w:val="008F2718"/>
    <w:pPr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B4F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F20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4F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F20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4F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F2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EquipoPc</dc:creator>
  <cp:lastModifiedBy>Camila Galmes</cp:lastModifiedBy>
  <cp:revision>2</cp:revision>
  <dcterms:created xsi:type="dcterms:W3CDTF">2020-04-20T14:16:00Z</dcterms:created>
  <dcterms:modified xsi:type="dcterms:W3CDTF">2020-04-20T14:16:00Z</dcterms:modified>
</cp:coreProperties>
</file>